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789"/>
        <w:gridCol w:w="2417"/>
      </w:tblGrid>
      <w:tr w:rsidR="00DE5ED6" w:rsidTr="00DE5ED6">
        <w:trPr>
          <w:jc w:val="center"/>
        </w:trPr>
        <w:tc>
          <w:tcPr>
            <w:tcW w:w="7789" w:type="dxa"/>
            <w:shd w:val="clear" w:color="auto" w:fill="17483F"/>
            <w:tcMar>
              <w:top w:w="260" w:type="dxa"/>
              <w:left w:w="260" w:type="dxa"/>
              <w:bottom w:w="240" w:type="dxa"/>
              <w:right w:w="230" w:type="dxa"/>
            </w:tcMar>
            <w:vAlign w:val="center"/>
          </w:tcPr>
          <w:p w:rsidR="006C2FE4" w:rsidRPr="00DE5ED6" w:rsidRDefault="00000000">
            <w:pPr>
              <w:spacing w:after="80"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b/>
                <w:color w:val="D8B35E"/>
                <w:sz w:val="20"/>
                <w:lang w:eastAsia="zh-CN"/>
              </w:rPr>
              <w:t>投递岗位：Kimi AI 研究员</w:t>
            </w:r>
          </w:p>
          <w:p w:rsidR="006C2FE4" w:rsidRPr="00DE5ED6" w:rsidRDefault="00000000" w:rsidP="00DE5ED6">
            <w:pPr>
              <w:spacing w:line="240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b/>
                <w:color w:val="FFFFFF"/>
                <w:sz w:val="54"/>
                <w:lang w:eastAsia="zh-CN"/>
              </w:rPr>
              <w:t>王茗</w:t>
            </w:r>
          </w:p>
          <w:p w:rsidR="006C2FE4" w:rsidRPr="00DE5ED6" w:rsidRDefault="00000000">
            <w:pPr>
              <w:spacing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b/>
                <w:color w:val="FFFFFF"/>
                <w:sz w:val="25"/>
                <w:lang w:eastAsia="zh-CN"/>
              </w:rPr>
              <w:t>AI 生产力 / Agent 产品战略用研｜AI 应用业务洞察</w:t>
            </w:r>
          </w:p>
          <w:p w:rsidR="006C2FE4" w:rsidRDefault="00000000">
            <w:pPr>
              <w:spacing w:after="0" w:line="259" w:lineRule="auto"/>
              <w:rPr>
                <w:lang w:eastAsia="zh-CN"/>
              </w:rPr>
            </w:pPr>
            <w:r w:rsidRPr="00DE5ED6">
              <w:rPr>
                <w:rFonts w:ascii="微软雅黑" w:eastAsia="微软雅黑" w:hAnsi="微软雅黑"/>
                <w:color w:val="DCE8E2"/>
                <w:sz w:val="17"/>
                <w:lang w:eastAsia="zh-CN"/>
              </w:rPr>
              <w:t>手机 18516221009   邮箱 kloseleo@sina.com   本科：安徽科技</w:t>
            </w:r>
            <w:r w:rsidR="00DE5ED6">
              <w:rPr>
                <w:rFonts w:ascii="微软雅黑" w:eastAsia="微软雅黑" w:hAnsi="微软雅黑" w:hint="eastAsia"/>
                <w:color w:val="DCE8E2"/>
                <w:sz w:val="17"/>
                <w:lang w:eastAsia="zh-CN"/>
              </w:rPr>
              <w:t xml:space="preserve">工程大学 </w:t>
            </w:r>
            <w:r w:rsidRPr="00DE5ED6">
              <w:rPr>
                <w:rFonts w:ascii="微软雅黑" w:eastAsia="微软雅黑" w:hAnsi="微软雅黑"/>
                <w:color w:val="DCE8E2"/>
                <w:sz w:val="17"/>
                <w:lang w:eastAsia="zh-CN"/>
              </w:rPr>
              <w:t xml:space="preserve"> 信息与计算科学</w:t>
            </w:r>
          </w:p>
        </w:tc>
        <w:tc>
          <w:tcPr>
            <w:tcW w:w="2417" w:type="dxa"/>
            <w:shd w:val="clear" w:color="auto" w:fill="2D7469"/>
            <w:tcMar>
              <w:top w:w="260" w:type="dxa"/>
              <w:left w:w="260" w:type="dxa"/>
              <w:bottom w:w="240" w:type="dxa"/>
              <w:right w:w="230" w:type="dxa"/>
            </w:tcMar>
            <w:vAlign w:val="center"/>
          </w:tcPr>
          <w:p w:rsidR="006C2FE4" w:rsidRDefault="00000000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4000" cy="125172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ngming-phot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251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5ED6" w:rsidRDefault="00DE5ED6">
      <w:pPr>
        <w:spacing w:after="80"/>
        <w:rPr>
          <w:rFonts w:ascii="微软雅黑" w:eastAsia="微软雅黑" w:hAnsi="微软雅黑"/>
          <w:sz w:val="18"/>
          <w:lang w:eastAsia="zh-CN"/>
        </w:rPr>
      </w:pPr>
    </w:p>
    <w:p w:rsidR="00DE5ED6" w:rsidRPr="00C86D12" w:rsidRDefault="00000000">
      <w:pPr>
        <w:spacing w:after="80"/>
        <w:rPr>
          <w:rFonts w:ascii="微软雅黑" w:eastAsia="微软雅黑" w:hAnsi="微软雅黑" w:hint="eastAsia"/>
          <w:sz w:val="18"/>
          <w:lang w:eastAsia="zh-CN"/>
        </w:rPr>
      </w:pPr>
      <w:r w:rsidRPr="00DE5ED6">
        <w:rPr>
          <w:rFonts w:ascii="微软雅黑" w:eastAsia="微软雅黑" w:hAnsi="微软雅黑"/>
          <w:sz w:val="18"/>
          <w:lang w:eastAsia="zh-CN"/>
        </w:rPr>
        <w:t>10 年以上企业服务、SaaS、云计算与 AI 应用相关经验。曾在百度、网易、联想、腾讯、阿里等平台型企业负责 AI 应用专项、生态渠道、商业化规则及行业场景拓展。近年重点围绕客服 Agent、AI 数字人、视觉 AI、医疗 AI、GPU、Token 与 Agent 生态推进业务规划、场景验证、伙伴共创和跨团队落地。优势是能把客户、伙伴与项目现场的一线反馈整理成结构化判断，并推动产品、业务和商业化动作闭环。</w:t>
      </w:r>
    </w:p>
    <w:tbl>
      <w:tblPr>
        <w:tblW w:w="10206" w:type="dxa"/>
        <w:jc w:val="center"/>
        <w:tblBorders>
          <w:top w:val="single" w:sz="4" w:space="0" w:color="CAD9D1"/>
          <w:left w:val="single" w:sz="4" w:space="0" w:color="CAD9D1"/>
          <w:bottom w:val="single" w:sz="4" w:space="0" w:color="CAD9D1"/>
          <w:right w:val="single" w:sz="4" w:space="0" w:color="CAD9D1"/>
          <w:insideH w:val="single" w:sz="4" w:space="0" w:color="CAD9D1"/>
          <w:insideV w:val="single" w:sz="4" w:space="0" w:color="CAD9D1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DE5ED6" w:rsidTr="00DE5ED6">
        <w:trPr>
          <w:jc w:val="center"/>
        </w:trPr>
        <w:tc>
          <w:tcPr>
            <w:tcW w:w="1701" w:type="dxa"/>
            <w:shd w:val="clear" w:color="auto" w:fill="EAF2ED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6C2FE4" w:rsidRPr="00DE5ED6" w:rsidRDefault="00000000">
            <w:pPr>
              <w:spacing w:after="0" w:line="259" w:lineRule="auto"/>
              <w:jc w:val="center"/>
              <w:rPr>
                <w:rFonts w:ascii="微软雅黑" w:eastAsia="微软雅黑" w:hAnsi="微软雅黑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  <w:sz w:val="17"/>
              </w:rPr>
              <w:t xml:space="preserve">AI </w:t>
            </w:r>
            <w:proofErr w:type="spellStart"/>
            <w:r w:rsidRPr="00DE5ED6">
              <w:rPr>
                <w:rFonts w:ascii="微软雅黑" w:eastAsia="微软雅黑" w:hAnsi="微软雅黑"/>
                <w:b/>
                <w:color w:val="17483F"/>
                <w:sz w:val="17"/>
              </w:rPr>
              <w:t>应用</w:t>
            </w:r>
            <w:proofErr w:type="spellEnd"/>
          </w:p>
        </w:tc>
        <w:tc>
          <w:tcPr>
            <w:tcW w:w="1701" w:type="dxa"/>
            <w:shd w:val="clear" w:color="auto" w:fill="EAF2ED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6C2FE4" w:rsidRPr="00DE5ED6" w:rsidRDefault="00000000">
            <w:pPr>
              <w:spacing w:after="0" w:line="259" w:lineRule="auto"/>
              <w:jc w:val="center"/>
              <w:rPr>
                <w:rFonts w:ascii="微软雅黑" w:eastAsia="微软雅黑" w:hAnsi="微软雅黑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  <w:sz w:val="17"/>
              </w:rPr>
              <w:t>Agent 场景</w:t>
            </w:r>
          </w:p>
        </w:tc>
        <w:tc>
          <w:tcPr>
            <w:tcW w:w="1701" w:type="dxa"/>
            <w:shd w:val="clear" w:color="auto" w:fill="EAF2ED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6C2FE4" w:rsidRPr="00DE5ED6" w:rsidRDefault="00000000">
            <w:pPr>
              <w:spacing w:after="0" w:line="259" w:lineRule="auto"/>
              <w:jc w:val="center"/>
              <w:rPr>
                <w:rFonts w:ascii="微软雅黑" w:eastAsia="微软雅黑" w:hAnsi="微软雅黑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  <w:sz w:val="17"/>
              </w:rPr>
              <w:t>用户/客户洞察</w:t>
            </w:r>
          </w:p>
        </w:tc>
        <w:tc>
          <w:tcPr>
            <w:tcW w:w="1701" w:type="dxa"/>
            <w:shd w:val="clear" w:color="auto" w:fill="EAF2ED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6C2FE4" w:rsidRPr="00DE5ED6" w:rsidRDefault="00000000">
            <w:pPr>
              <w:spacing w:after="0" w:line="259" w:lineRule="auto"/>
              <w:jc w:val="center"/>
              <w:rPr>
                <w:rFonts w:ascii="微软雅黑" w:eastAsia="微软雅黑" w:hAnsi="微软雅黑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  <w:sz w:val="17"/>
              </w:rPr>
              <w:t>反馈闭环</w:t>
            </w:r>
          </w:p>
        </w:tc>
        <w:tc>
          <w:tcPr>
            <w:tcW w:w="1701" w:type="dxa"/>
            <w:shd w:val="clear" w:color="auto" w:fill="EAF2ED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6C2FE4" w:rsidRPr="00DE5ED6" w:rsidRDefault="00000000">
            <w:pPr>
              <w:spacing w:after="0" w:line="259" w:lineRule="auto"/>
              <w:jc w:val="center"/>
              <w:rPr>
                <w:rFonts w:ascii="微软雅黑" w:eastAsia="微软雅黑" w:hAnsi="微软雅黑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  <w:sz w:val="17"/>
              </w:rPr>
              <w:t>生态商业化</w:t>
            </w:r>
          </w:p>
        </w:tc>
        <w:tc>
          <w:tcPr>
            <w:tcW w:w="1701" w:type="dxa"/>
            <w:shd w:val="clear" w:color="auto" w:fill="EAF2ED"/>
            <w:tcMar>
              <w:top w:w="70" w:type="dxa"/>
              <w:left w:w="90" w:type="dxa"/>
              <w:bottom w:w="70" w:type="dxa"/>
              <w:right w:w="90" w:type="dxa"/>
            </w:tcMar>
          </w:tcPr>
          <w:p w:rsidR="006C2FE4" w:rsidRPr="00DE5ED6" w:rsidRDefault="00000000">
            <w:pPr>
              <w:spacing w:after="0" w:line="259" w:lineRule="auto"/>
              <w:jc w:val="center"/>
              <w:rPr>
                <w:rFonts w:ascii="微软雅黑" w:eastAsia="微软雅黑" w:hAnsi="微软雅黑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  <w:sz w:val="17"/>
              </w:rPr>
              <w:t>跨部门推动</w:t>
            </w:r>
          </w:p>
        </w:tc>
      </w:tr>
    </w:tbl>
    <w:p w:rsidR="006C2FE4" w:rsidRPr="00DE5ED6" w:rsidRDefault="00000000">
      <w:pPr>
        <w:pStyle w:val="1"/>
        <w:rPr>
          <w:rFonts w:ascii="微软雅黑" w:eastAsia="微软雅黑" w:hAnsi="微软雅黑"/>
        </w:rPr>
      </w:pPr>
      <w:proofErr w:type="spellStart"/>
      <w:r w:rsidRPr="00DE5ED6">
        <w:rPr>
          <w:rFonts w:ascii="微软雅黑" w:eastAsia="微软雅黑" w:hAnsi="微软雅黑" w:cs="Arial Unicode MS"/>
        </w:rPr>
        <w:t>核心匹配</w:t>
      </w:r>
      <w:proofErr w:type="spellEnd"/>
    </w:p>
    <w:tbl>
      <w:tblPr>
        <w:tblW w:w="9360" w:type="dxa"/>
        <w:jc w:val="center"/>
        <w:tblBorders>
          <w:top w:val="single" w:sz="4" w:space="0" w:color="D7E0DA"/>
          <w:left w:val="single" w:sz="4" w:space="0" w:color="D7E0DA"/>
          <w:bottom w:val="single" w:sz="4" w:space="0" w:color="D7E0DA"/>
          <w:right w:val="single" w:sz="4" w:space="0" w:color="D7E0DA"/>
          <w:insideH w:val="single" w:sz="4" w:space="0" w:color="D7E0DA"/>
          <w:insideV w:val="single" w:sz="4" w:space="0" w:color="D7E0DA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6C2FE4" w:rsidRPr="00DE5ED6">
        <w:trPr>
          <w:jc w:val="center"/>
        </w:trPr>
        <w:tc>
          <w:tcPr>
            <w:tcW w:w="4680" w:type="dxa"/>
            <w:tcMar>
              <w:top w:w="120" w:type="dxa"/>
              <w:left w:w="140" w:type="dxa"/>
              <w:bottom w:w="115" w:type="dxa"/>
              <w:right w:w="140" w:type="dxa"/>
            </w:tcMar>
          </w:tcPr>
          <w:p w:rsidR="006C2FE4" w:rsidRPr="00DE5ED6" w:rsidRDefault="00000000">
            <w:pPr>
              <w:spacing w:after="40" w:line="259" w:lineRule="auto"/>
              <w:rPr>
                <w:rFonts w:ascii="微软雅黑" w:eastAsia="微软雅黑" w:hAnsi="微软雅黑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</w:rPr>
              <w:t>AI / Agent 一线经验</w:t>
            </w:r>
          </w:p>
          <w:p w:rsidR="006C2FE4" w:rsidRPr="00DE5ED6" w:rsidRDefault="00000000">
            <w:pPr>
              <w:spacing w:after="0" w:line="259" w:lineRule="auto"/>
              <w:rPr>
                <w:rFonts w:ascii="微软雅黑" w:eastAsia="微软雅黑" w:hAnsi="微软雅黑"/>
              </w:rPr>
            </w:pPr>
            <w:r w:rsidRPr="00DE5ED6">
              <w:rPr>
                <w:rFonts w:ascii="微软雅黑" w:eastAsia="微软雅黑" w:hAnsi="微软雅黑"/>
                <w:color w:val="262626" w:themeColor="text1" w:themeTint="D9"/>
                <w:sz w:val="17"/>
              </w:rPr>
              <w:t>百度、网易阶段直接负责客服 Agent、AI 数字人、视觉 AI、医疗 AI、GPU、Token 与 Agent 生态合作。</w:t>
            </w:r>
          </w:p>
        </w:tc>
        <w:tc>
          <w:tcPr>
            <w:tcW w:w="4680" w:type="dxa"/>
            <w:tcMar>
              <w:top w:w="120" w:type="dxa"/>
              <w:left w:w="140" w:type="dxa"/>
              <w:bottom w:w="115" w:type="dxa"/>
              <w:right w:w="140" w:type="dxa"/>
            </w:tcMar>
          </w:tcPr>
          <w:p w:rsidR="006C2FE4" w:rsidRPr="00DE5ED6" w:rsidRDefault="00000000">
            <w:pPr>
              <w:spacing w:after="40"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  <w:lang w:eastAsia="zh-CN"/>
              </w:rPr>
              <w:t>场景洞察与反馈抽象</w:t>
            </w:r>
          </w:p>
          <w:p w:rsidR="006C2FE4" w:rsidRPr="00DE5ED6" w:rsidRDefault="00000000">
            <w:pPr>
              <w:spacing w:after="0"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color w:val="262626" w:themeColor="text1" w:themeTint="D9"/>
                <w:sz w:val="17"/>
                <w:lang w:eastAsia="zh-CN"/>
              </w:rPr>
              <w:t>通过客户拜访、伙伴共创、重点项目复盘，识别真实需求、落地阻力、产品边界和行业机会。</w:t>
            </w:r>
          </w:p>
        </w:tc>
      </w:tr>
      <w:tr w:rsidR="006C2FE4" w:rsidRPr="00DE5ED6">
        <w:trPr>
          <w:jc w:val="center"/>
        </w:trPr>
        <w:tc>
          <w:tcPr>
            <w:tcW w:w="4680" w:type="dxa"/>
            <w:tcMar>
              <w:top w:w="120" w:type="dxa"/>
              <w:left w:w="140" w:type="dxa"/>
              <w:bottom w:w="115" w:type="dxa"/>
              <w:right w:w="140" w:type="dxa"/>
            </w:tcMar>
          </w:tcPr>
          <w:p w:rsidR="006C2FE4" w:rsidRPr="00DE5ED6" w:rsidRDefault="00000000">
            <w:pPr>
              <w:spacing w:after="40"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  <w:lang w:eastAsia="zh-CN"/>
              </w:rPr>
              <w:t>反馈机制与流程搭建</w:t>
            </w:r>
          </w:p>
          <w:p w:rsidR="006C2FE4" w:rsidRPr="00DE5ED6" w:rsidRDefault="00000000">
            <w:pPr>
              <w:spacing w:after="0"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color w:val="262626" w:themeColor="text1" w:themeTint="D9"/>
                <w:sz w:val="17"/>
                <w:lang w:eastAsia="zh-CN"/>
              </w:rPr>
              <w:t>搭建客户档案、项目追踪、销售 SOP、伙伴规则、专项行动等机制，让一线问题进入业务闭环。</w:t>
            </w:r>
          </w:p>
        </w:tc>
        <w:tc>
          <w:tcPr>
            <w:tcW w:w="4680" w:type="dxa"/>
            <w:tcMar>
              <w:top w:w="120" w:type="dxa"/>
              <w:left w:w="140" w:type="dxa"/>
              <w:bottom w:w="115" w:type="dxa"/>
              <w:right w:w="140" w:type="dxa"/>
            </w:tcMar>
          </w:tcPr>
          <w:p w:rsidR="006C2FE4" w:rsidRPr="00DE5ED6" w:rsidRDefault="00000000">
            <w:pPr>
              <w:spacing w:after="40"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  <w:lang w:eastAsia="zh-CN"/>
              </w:rPr>
              <w:t>跨团队推动落地</w:t>
            </w:r>
          </w:p>
          <w:p w:rsidR="006C2FE4" w:rsidRPr="00DE5ED6" w:rsidRDefault="00000000">
            <w:pPr>
              <w:spacing w:after="0"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color w:val="262626" w:themeColor="text1" w:themeTint="D9"/>
                <w:sz w:val="17"/>
                <w:lang w:eastAsia="zh-CN"/>
              </w:rPr>
              <w:t>长期协同产研、售前、行业专家、实施、交付、增长及外部生态伙伴，将判断转化为行动。</w:t>
            </w:r>
          </w:p>
        </w:tc>
      </w:tr>
    </w:tbl>
    <w:p w:rsidR="006C2FE4" w:rsidRPr="00DE5ED6" w:rsidRDefault="00000000">
      <w:pPr>
        <w:pStyle w:val="1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 w:cs="Arial Unicode MS"/>
          <w:lang w:eastAsia="zh-CN"/>
        </w:rPr>
        <w:t>工作经历</w:t>
      </w:r>
    </w:p>
    <w:p w:rsidR="006C2FE4" w:rsidRPr="00DE5ED6" w:rsidRDefault="00000000">
      <w:pPr>
        <w:keepNext/>
        <w:spacing w:before="80" w:after="20" w:line="252" w:lineRule="auto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t xml:space="preserve">2025.02 </w:t>
      </w:r>
      <w:r w:rsidR="00C86D12">
        <w:rPr>
          <w:rFonts w:ascii="微软雅黑" w:eastAsia="微软雅黑" w:hAnsi="微软雅黑"/>
          <w:b/>
          <w:color w:val="B5623A"/>
          <w:sz w:val="17"/>
          <w:lang w:eastAsia="zh-CN"/>
        </w:rPr>
        <w:t xml:space="preserve">- </w:t>
      </w: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t>至今</w:t>
      </w:r>
      <w:r w:rsidRPr="00DE5ED6">
        <w:rPr>
          <w:rFonts w:ascii="微软雅黑" w:eastAsia="微软雅黑" w:hAnsi="微软雅黑"/>
          <w:color w:val="5C6964"/>
          <w:sz w:val="17"/>
          <w:lang w:eastAsia="zh-CN"/>
        </w:rPr>
        <w:t xml:space="preserve">  |  </w:t>
      </w:r>
      <w:r w:rsidR="00D006AF">
        <w:rPr>
          <w:rFonts w:ascii="微软雅黑" w:eastAsia="微软雅黑" w:hAnsi="微软雅黑" w:hint="eastAsia"/>
          <w:b/>
          <w:color w:val="17483F"/>
          <w:sz w:val="20"/>
          <w:lang w:eastAsia="zh-CN"/>
        </w:rPr>
        <w:t>大模型应用业务</w:t>
      </w:r>
      <w:r w:rsidRPr="00DE5ED6">
        <w:rPr>
          <w:rFonts w:ascii="微软雅黑" w:eastAsia="微软雅黑" w:hAnsi="微软雅黑"/>
          <w:b/>
          <w:color w:val="17483F"/>
          <w:sz w:val="20"/>
          <w:lang w:eastAsia="zh-CN"/>
        </w:rPr>
        <w:t>总监</w:t>
      </w:r>
    </w:p>
    <w:p w:rsidR="006C2FE4" w:rsidRPr="00DE5ED6" w:rsidRDefault="00000000">
      <w:pPr>
        <w:keepNext/>
        <w:spacing w:after="40" w:line="240" w:lineRule="auto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color w:val="5C6964"/>
          <w:sz w:val="16"/>
          <w:lang w:eastAsia="zh-CN"/>
        </w:rPr>
        <w:t>百度集团 - 百度智能云 - 大模型 AI 应用专项组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负责客悦（客服 Agent）、慧播星（AI 数字人）、一见（视觉 AI）、灵医（医疗 AI）等 AI 应用产品生态与渠道专项。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围绕 Agent 产品、GPU、昆仑芯、算力 Token 等能力推动生态合作，沉淀客户在算力、模型能力、集成成本、交付周期和商业规则上的真实反馈。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面向工业、零售、餐饮、泛互联网等行业推进场景化推广，通过客户拜访、伙伴共创、项目复盘识别高频需求和产品落地阻力。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推动工业领域 AI 工业大脑生态合作，与浙江邦业、北京帮安迪、深圳惠友安等伙伴达成年度千万级合作框架。</w:t>
      </w:r>
    </w:p>
    <w:p w:rsidR="006C2FE4" w:rsidRPr="00DE5ED6" w:rsidRDefault="00000000">
      <w:pPr>
        <w:pStyle w:val="a0"/>
        <w:rPr>
          <w:rFonts w:ascii="微软雅黑" w:eastAsia="微软雅黑" w:hAnsi="微软雅黑"/>
        </w:rPr>
      </w:pPr>
      <w:r w:rsidRPr="00DE5ED6">
        <w:rPr>
          <w:rFonts w:ascii="微软雅黑" w:eastAsia="微软雅黑" w:hAnsi="微软雅黑"/>
          <w:sz w:val="17"/>
        </w:rPr>
        <w:t xml:space="preserve">在 Agent </w:t>
      </w:r>
      <w:proofErr w:type="spellStart"/>
      <w:r w:rsidRPr="00DE5ED6">
        <w:rPr>
          <w:rFonts w:ascii="微软雅黑" w:eastAsia="微软雅黑" w:hAnsi="微软雅黑"/>
          <w:sz w:val="17"/>
        </w:rPr>
        <w:t>方向推动客服</w:t>
      </w:r>
      <w:proofErr w:type="spellEnd"/>
      <w:r w:rsidRPr="00DE5ED6">
        <w:rPr>
          <w:rFonts w:ascii="微软雅黑" w:eastAsia="微软雅黑" w:hAnsi="微软雅黑"/>
          <w:sz w:val="17"/>
        </w:rPr>
        <w:t xml:space="preserve"> </w:t>
      </w:r>
      <w:proofErr w:type="spellStart"/>
      <w:r w:rsidRPr="00DE5ED6">
        <w:rPr>
          <w:rFonts w:ascii="微软雅黑" w:eastAsia="微软雅黑" w:hAnsi="微软雅黑"/>
          <w:sz w:val="17"/>
        </w:rPr>
        <w:t>Agent、Openclaw</w:t>
      </w:r>
      <w:proofErr w:type="spellEnd"/>
      <w:r w:rsidRPr="00DE5ED6">
        <w:rPr>
          <w:rFonts w:ascii="微软雅黑" w:eastAsia="微软雅黑" w:hAnsi="微软雅黑"/>
          <w:sz w:val="17"/>
        </w:rPr>
        <w:t xml:space="preserve"> 等产品 ISV 合作，围绕客户服务工作流、知识库接入、人工协同和交付边界形成场景判断。</w:t>
      </w:r>
    </w:p>
    <w:p w:rsidR="006C2FE4" w:rsidRPr="00DE5ED6" w:rsidRDefault="00000000">
      <w:pPr>
        <w:keepNext/>
        <w:spacing w:before="80" w:after="20" w:line="252" w:lineRule="auto"/>
        <w:rPr>
          <w:rFonts w:ascii="微软雅黑" w:eastAsia="微软雅黑" w:hAnsi="微软雅黑"/>
        </w:rPr>
      </w:pPr>
      <w:r w:rsidRPr="00DE5ED6">
        <w:rPr>
          <w:rFonts w:ascii="微软雅黑" w:eastAsia="微软雅黑" w:hAnsi="微软雅黑"/>
          <w:b/>
          <w:color w:val="B5623A"/>
          <w:sz w:val="17"/>
        </w:rPr>
        <w:t>2023.08 - 2025.02</w:t>
      </w:r>
      <w:r w:rsidRPr="00DE5ED6">
        <w:rPr>
          <w:rFonts w:ascii="微软雅黑" w:eastAsia="微软雅黑" w:hAnsi="微软雅黑"/>
          <w:color w:val="5C6964"/>
          <w:sz w:val="17"/>
        </w:rPr>
        <w:t xml:space="preserve">  |  </w:t>
      </w:r>
      <w:r w:rsidRPr="00DE5ED6">
        <w:rPr>
          <w:rFonts w:ascii="微软雅黑" w:eastAsia="微软雅黑" w:hAnsi="微软雅黑"/>
          <w:b/>
          <w:color w:val="17483F"/>
          <w:sz w:val="20"/>
        </w:rPr>
        <w:t>全国渠道生态总监</w:t>
      </w:r>
    </w:p>
    <w:p w:rsidR="006C2FE4" w:rsidRPr="00DE5ED6" w:rsidRDefault="00000000">
      <w:pPr>
        <w:keepNext/>
        <w:spacing w:after="40" w:line="240" w:lineRule="auto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color w:val="5C6964"/>
          <w:sz w:val="16"/>
          <w:lang w:eastAsia="zh-CN"/>
        </w:rPr>
        <w:t>网易集团 - 数智事业部 - 七鱼客服 Agent 业务部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负责网易七鱼全国伙伴生态团队（8 人），承担全国代理商业绩目标近亿元。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围绕客服 Agent、在线咨询、工单、知识库、人工协同等场景，沉淀 B 端客户在 AI 客服落地中的核心需求。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建设营销标准化、服务标准化、能力标准化机制，帮助伙伴理解产品能力边界、客户沟通话术和典型行业解决方案。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建立客户档案管理、五阶段销售 SOP 和重点项目追踪机制，联动售前、行业专家、实施、交付推动客户落地。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面向政府、泛零售、工业制造、泛互联网等行业组织打法共创，形成差异化行业方案并推动产品问题进入闭环。</w:t>
      </w:r>
    </w:p>
    <w:p w:rsidR="006C2FE4" w:rsidRPr="00DE5ED6" w:rsidRDefault="00000000">
      <w:pPr>
        <w:keepNext/>
        <w:spacing w:before="80" w:after="20" w:line="252" w:lineRule="auto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lastRenderedPageBreak/>
        <w:t>2022</w:t>
      </w:r>
      <w:r w:rsidR="00DE5ED6">
        <w:rPr>
          <w:rFonts w:ascii="微软雅黑" w:eastAsia="微软雅黑" w:hAnsi="微软雅黑" w:hint="eastAsia"/>
          <w:b/>
          <w:color w:val="B5623A"/>
          <w:sz w:val="17"/>
          <w:lang w:eastAsia="zh-CN"/>
        </w:rPr>
        <w:t>.</w:t>
      </w:r>
      <w:r w:rsidR="00DE5ED6">
        <w:rPr>
          <w:rFonts w:ascii="微软雅黑" w:eastAsia="微软雅黑" w:hAnsi="微软雅黑"/>
          <w:b/>
          <w:color w:val="B5623A"/>
          <w:sz w:val="17"/>
          <w:lang w:eastAsia="zh-CN"/>
        </w:rPr>
        <w:t>06</w:t>
      </w: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t xml:space="preserve"> </w:t>
      </w:r>
      <w:r w:rsidR="00DE5ED6">
        <w:rPr>
          <w:rFonts w:ascii="微软雅黑" w:eastAsia="微软雅黑" w:hAnsi="微软雅黑"/>
          <w:b/>
          <w:color w:val="B5623A"/>
          <w:sz w:val="17"/>
          <w:lang w:eastAsia="zh-CN"/>
        </w:rPr>
        <w:t>–</w:t>
      </w: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t xml:space="preserve"> 2023</w:t>
      </w:r>
      <w:r w:rsidR="00DE5ED6">
        <w:rPr>
          <w:rFonts w:ascii="微软雅黑" w:eastAsia="微软雅黑" w:hAnsi="微软雅黑"/>
          <w:b/>
          <w:color w:val="B5623A"/>
          <w:sz w:val="17"/>
          <w:lang w:eastAsia="zh-CN"/>
        </w:rPr>
        <w:t>.07</w:t>
      </w:r>
      <w:r w:rsidRPr="00DE5ED6">
        <w:rPr>
          <w:rFonts w:ascii="微软雅黑" w:eastAsia="微软雅黑" w:hAnsi="微软雅黑"/>
          <w:color w:val="5C6964"/>
          <w:sz w:val="17"/>
          <w:lang w:eastAsia="zh-CN"/>
        </w:rPr>
        <w:t xml:space="preserve">  |  </w:t>
      </w:r>
      <w:r w:rsidRPr="00DE5ED6">
        <w:rPr>
          <w:rFonts w:ascii="微软雅黑" w:eastAsia="微软雅黑" w:hAnsi="微软雅黑"/>
          <w:b/>
          <w:color w:val="17483F"/>
          <w:sz w:val="20"/>
          <w:lang w:eastAsia="zh-CN"/>
        </w:rPr>
        <w:t>生态渠道业务负责人</w:t>
      </w:r>
    </w:p>
    <w:p w:rsidR="006C2FE4" w:rsidRPr="00DE5ED6" w:rsidRDefault="00000000">
      <w:pPr>
        <w:keepNext/>
        <w:spacing w:after="40" w:line="240" w:lineRule="auto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color w:val="5C6964"/>
          <w:sz w:val="16"/>
          <w:lang w:eastAsia="zh-CN"/>
        </w:rPr>
        <w:t>联想集团 - SSG - 生态渠道部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负责联想商用服务业务战略生态合作，包括生态伙伴产品引入、产品整合和面向业务销售推广。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负责联想擎天生态市场建设，以擎天引擎五大能力为核心，完成门户 Portal 从 0 到 1 搭建。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全国生态体系引入产品型生态伙伴 70+ 家，联动解决方案集成商 100+ 家；拉通生态项目 50+ 个，落地项目金额过亿元。</w:t>
      </w:r>
    </w:p>
    <w:p w:rsidR="006C2FE4" w:rsidRPr="00DE5ED6" w:rsidRDefault="00000000">
      <w:pPr>
        <w:keepNext/>
        <w:spacing w:before="80" w:after="20" w:line="252" w:lineRule="auto"/>
        <w:rPr>
          <w:rFonts w:ascii="微软雅黑" w:eastAsia="微软雅黑" w:hAnsi="微软雅黑"/>
          <w:lang w:eastAsia="zh-CN"/>
        </w:rPr>
      </w:pPr>
      <w:r>
        <w:rPr>
          <w:b/>
          <w:color w:val="B5623A"/>
          <w:sz w:val="17"/>
          <w:lang w:eastAsia="zh-CN"/>
        </w:rPr>
        <w:t>2</w:t>
      </w: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t>020</w:t>
      </w:r>
      <w:r w:rsidR="00DE5ED6">
        <w:rPr>
          <w:rFonts w:ascii="微软雅黑" w:eastAsia="微软雅黑" w:hAnsi="微软雅黑"/>
          <w:b/>
          <w:color w:val="B5623A"/>
          <w:sz w:val="17"/>
          <w:lang w:eastAsia="zh-CN"/>
        </w:rPr>
        <w:t>.12</w:t>
      </w: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t xml:space="preserve"> </w:t>
      </w:r>
      <w:r w:rsidR="00DE5ED6">
        <w:rPr>
          <w:rFonts w:ascii="微软雅黑" w:eastAsia="微软雅黑" w:hAnsi="微软雅黑"/>
          <w:b/>
          <w:color w:val="B5623A"/>
          <w:sz w:val="17"/>
          <w:lang w:eastAsia="zh-CN"/>
        </w:rPr>
        <w:t>–</w:t>
      </w: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t xml:space="preserve"> 2022</w:t>
      </w:r>
      <w:r w:rsidR="00DE5ED6">
        <w:rPr>
          <w:rFonts w:ascii="微软雅黑" w:eastAsia="微软雅黑" w:hAnsi="微软雅黑"/>
          <w:b/>
          <w:color w:val="B5623A"/>
          <w:sz w:val="17"/>
          <w:lang w:eastAsia="zh-CN"/>
        </w:rPr>
        <w:t>.06</w:t>
      </w:r>
      <w:r w:rsidRPr="00DE5ED6">
        <w:rPr>
          <w:rFonts w:ascii="微软雅黑" w:eastAsia="微软雅黑" w:hAnsi="微软雅黑"/>
          <w:color w:val="5C6964"/>
          <w:sz w:val="17"/>
          <w:lang w:eastAsia="zh-CN"/>
        </w:rPr>
        <w:t xml:space="preserve">  |  </w:t>
      </w:r>
      <w:r w:rsidRPr="00DE5ED6">
        <w:rPr>
          <w:rFonts w:ascii="微软雅黑" w:eastAsia="微软雅黑" w:hAnsi="微软雅黑"/>
          <w:b/>
          <w:color w:val="17483F"/>
          <w:sz w:val="20"/>
          <w:lang w:eastAsia="zh-CN"/>
        </w:rPr>
        <w:t>乐享全国渠道生态负责人</w:t>
      </w:r>
    </w:p>
    <w:p w:rsidR="006C2FE4" w:rsidRPr="00DE5ED6" w:rsidRDefault="00000000">
      <w:pPr>
        <w:keepNext/>
        <w:spacing w:after="40" w:line="240" w:lineRule="auto"/>
        <w:rPr>
          <w:rFonts w:ascii="微软雅黑" w:eastAsia="微软雅黑" w:hAnsi="微软雅黑"/>
        </w:rPr>
      </w:pPr>
      <w:proofErr w:type="spellStart"/>
      <w:r w:rsidRPr="00DE5ED6">
        <w:rPr>
          <w:rFonts w:ascii="微软雅黑" w:eastAsia="微软雅黑" w:hAnsi="微软雅黑"/>
          <w:color w:val="5C6964"/>
          <w:sz w:val="16"/>
        </w:rPr>
        <w:t>腾讯集团</w:t>
      </w:r>
      <w:proofErr w:type="spellEnd"/>
      <w:r w:rsidRPr="00DE5ED6">
        <w:rPr>
          <w:rFonts w:ascii="微软雅黑" w:eastAsia="微软雅黑" w:hAnsi="微软雅黑"/>
          <w:color w:val="5C6964"/>
          <w:sz w:val="16"/>
        </w:rPr>
        <w:t xml:space="preserve"> - TEG - 乐享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全面负责腾讯乐享产品渠道商业化政策制定、业务规则梳理、全国伙伴招募、生态合作和商机运营。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推动与腾讯云、企业微信等内部团队的流程及业务合作，建立与微盛、喔趣、Knex 等产品生态的融合合作模式。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探索政务、教育、医疗等行业生态合作，全国招募伙伴 300+ 家，构建 1000 人以上服务团队。</w:t>
      </w:r>
    </w:p>
    <w:p w:rsidR="006C2FE4" w:rsidRPr="00DE5ED6" w:rsidRDefault="00000000">
      <w:pPr>
        <w:keepNext/>
        <w:spacing w:before="80" w:after="20" w:line="252" w:lineRule="auto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t>2018</w:t>
      </w:r>
      <w:r w:rsidR="00DE5ED6">
        <w:rPr>
          <w:rFonts w:ascii="微软雅黑" w:eastAsia="微软雅黑" w:hAnsi="微软雅黑"/>
          <w:b/>
          <w:color w:val="B5623A"/>
          <w:sz w:val="17"/>
          <w:lang w:eastAsia="zh-CN"/>
        </w:rPr>
        <w:t>.03</w:t>
      </w: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t xml:space="preserve"> </w:t>
      </w:r>
      <w:r w:rsidR="00DE5ED6">
        <w:rPr>
          <w:rFonts w:ascii="微软雅黑" w:eastAsia="微软雅黑" w:hAnsi="微软雅黑"/>
          <w:b/>
          <w:color w:val="B5623A"/>
          <w:sz w:val="17"/>
          <w:lang w:eastAsia="zh-CN"/>
        </w:rPr>
        <w:t>–</w:t>
      </w: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t xml:space="preserve"> 2020</w:t>
      </w:r>
      <w:r w:rsidR="00DE5ED6">
        <w:rPr>
          <w:rFonts w:ascii="微软雅黑" w:eastAsia="微软雅黑" w:hAnsi="微软雅黑"/>
          <w:b/>
          <w:color w:val="B5623A"/>
          <w:sz w:val="17"/>
          <w:lang w:eastAsia="zh-CN"/>
        </w:rPr>
        <w:t>.12</w:t>
      </w:r>
      <w:r w:rsidRPr="00DE5ED6">
        <w:rPr>
          <w:rFonts w:ascii="微软雅黑" w:eastAsia="微软雅黑" w:hAnsi="微软雅黑"/>
          <w:color w:val="5C6964"/>
          <w:sz w:val="17"/>
          <w:lang w:eastAsia="zh-CN"/>
        </w:rPr>
        <w:t xml:space="preserve">  |  </w:t>
      </w:r>
      <w:r w:rsidRPr="00DE5ED6">
        <w:rPr>
          <w:rFonts w:ascii="微软雅黑" w:eastAsia="微软雅黑" w:hAnsi="微软雅黑"/>
          <w:b/>
          <w:color w:val="17483F"/>
          <w:sz w:val="20"/>
          <w:lang w:eastAsia="zh-CN"/>
        </w:rPr>
        <w:t>渠道生态商务运营</w:t>
      </w:r>
    </w:p>
    <w:p w:rsidR="006C2FE4" w:rsidRPr="00DE5ED6" w:rsidRDefault="00000000">
      <w:pPr>
        <w:keepNext/>
        <w:spacing w:after="40" w:line="240" w:lineRule="auto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color w:val="5C6964"/>
          <w:sz w:val="16"/>
          <w:lang w:eastAsia="zh-CN"/>
        </w:rPr>
        <w:t>阿里巴巴集团 - 阿里云 - 钉钉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负责钉钉、</w:t>
      </w:r>
      <w:proofErr w:type="spellStart"/>
      <w:r w:rsidRPr="00DE5ED6">
        <w:rPr>
          <w:rFonts w:ascii="微软雅黑" w:eastAsia="微软雅黑" w:hAnsi="微软雅黑"/>
          <w:sz w:val="17"/>
          <w:lang w:eastAsia="zh-CN"/>
        </w:rPr>
        <w:t>Teambition</w:t>
      </w:r>
      <w:proofErr w:type="spellEnd"/>
      <w:r w:rsidRPr="00DE5ED6">
        <w:rPr>
          <w:rFonts w:ascii="微软雅黑" w:eastAsia="微软雅黑" w:hAnsi="微软雅黑"/>
          <w:sz w:val="17"/>
          <w:lang w:eastAsia="zh-CN"/>
        </w:rPr>
        <w:t xml:space="preserve"> 全国服务商伙伴生态运营、培训、赋能及认证，参与重点客户 BD 协调和解决方案匹配。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负责前线 KPI 规则、服务商引入清退规则、服务商发展模型、佣金规则和激励活动制定，推动伙伴管理系统化建设。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负责广佛地区服务商体系开拓，落地“钉钉+”平台模式，开拓本地伙伴 50+ 家，服务客户数超过 1 万家。</w:t>
      </w:r>
    </w:p>
    <w:p w:rsidR="006C2FE4" w:rsidRPr="00DE5ED6" w:rsidRDefault="00000000">
      <w:pPr>
        <w:keepNext/>
        <w:spacing w:before="80" w:after="20" w:line="252" w:lineRule="auto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t>2013</w:t>
      </w:r>
      <w:r w:rsidR="00DE5ED6">
        <w:rPr>
          <w:rFonts w:ascii="微软雅黑" w:eastAsia="微软雅黑" w:hAnsi="微软雅黑"/>
          <w:b/>
          <w:color w:val="B5623A"/>
          <w:sz w:val="17"/>
          <w:lang w:eastAsia="zh-CN"/>
        </w:rPr>
        <w:t>.04</w:t>
      </w: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t xml:space="preserve"> </w:t>
      </w:r>
      <w:r w:rsidR="00DE5ED6">
        <w:rPr>
          <w:rFonts w:ascii="微软雅黑" w:eastAsia="微软雅黑" w:hAnsi="微软雅黑"/>
          <w:b/>
          <w:color w:val="B5623A"/>
          <w:sz w:val="17"/>
          <w:lang w:eastAsia="zh-CN"/>
        </w:rPr>
        <w:t>–</w:t>
      </w:r>
      <w:r w:rsidRPr="00DE5ED6">
        <w:rPr>
          <w:rFonts w:ascii="微软雅黑" w:eastAsia="微软雅黑" w:hAnsi="微软雅黑"/>
          <w:b/>
          <w:color w:val="B5623A"/>
          <w:sz w:val="17"/>
          <w:lang w:eastAsia="zh-CN"/>
        </w:rPr>
        <w:t xml:space="preserve"> 2018</w:t>
      </w:r>
      <w:r w:rsidR="00DE5ED6">
        <w:rPr>
          <w:rFonts w:ascii="微软雅黑" w:eastAsia="微软雅黑" w:hAnsi="微软雅黑"/>
          <w:b/>
          <w:color w:val="B5623A"/>
          <w:sz w:val="17"/>
          <w:lang w:eastAsia="zh-CN"/>
        </w:rPr>
        <w:t>.02</w:t>
      </w:r>
      <w:r w:rsidRPr="00DE5ED6">
        <w:rPr>
          <w:rFonts w:ascii="微软雅黑" w:eastAsia="微软雅黑" w:hAnsi="微软雅黑"/>
          <w:color w:val="5C6964"/>
          <w:sz w:val="17"/>
          <w:lang w:eastAsia="zh-CN"/>
        </w:rPr>
        <w:t xml:space="preserve">  |  </w:t>
      </w:r>
      <w:r w:rsidR="00D006AF">
        <w:rPr>
          <w:rFonts w:ascii="微软雅黑" w:eastAsia="微软雅黑" w:hAnsi="微软雅黑" w:hint="eastAsia"/>
          <w:b/>
          <w:color w:val="17483F"/>
          <w:sz w:val="20"/>
          <w:lang w:eastAsia="zh-CN"/>
        </w:rPr>
        <w:t>渠道部北区部门</w:t>
      </w:r>
      <w:r w:rsidRPr="00DE5ED6">
        <w:rPr>
          <w:rFonts w:ascii="微软雅黑" w:eastAsia="微软雅黑" w:hAnsi="微软雅黑" w:hint="eastAsia"/>
          <w:b/>
          <w:color w:val="17483F"/>
          <w:sz w:val="20"/>
          <w:lang w:eastAsia="zh-CN"/>
        </w:rPr>
        <w:t>经</w:t>
      </w:r>
      <w:r w:rsidRPr="00DE5ED6">
        <w:rPr>
          <w:rFonts w:ascii="微软雅黑" w:eastAsia="微软雅黑" w:hAnsi="微软雅黑"/>
          <w:b/>
          <w:color w:val="17483F"/>
          <w:sz w:val="20"/>
          <w:lang w:eastAsia="zh-CN"/>
        </w:rPr>
        <w:t>理</w:t>
      </w:r>
    </w:p>
    <w:p w:rsidR="006C2FE4" w:rsidRPr="00DE5ED6" w:rsidRDefault="00000000">
      <w:pPr>
        <w:keepNext/>
        <w:spacing w:after="40" w:line="240" w:lineRule="auto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color w:val="5C6964"/>
          <w:sz w:val="16"/>
          <w:lang w:eastAsia="zh-CN"/>
        </w:rPr>
        <w:t>北京二六三 - 渠道部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负责江苏、北京及北方大区渠道业务，制定区域发展规划、政策和销售策略，带领团队完成区域业绩。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采用销售漏斗进行数据化管理，分析客户推进阶段与转化效率，并将销售激励活动进行全国推广。</w:t>
      </w:r>
    </w:p>
    <w:p w:rsidR="006C2FE4" w:rsidRPr="00DE5ED6" w:rsidRDefault="00000000">
      <w:pPr>
        <w:pStyle w:val="a0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sz w:val="17"/>
          <w:lang w:eastAsia="zh-CN"/>
        </w:rPr>
        <w:t>主导重点客户跟进，与用友、泛微、Polycom 等 ISV 厂商沟通合作，推动多渠道复合型销售。</w:t>
      </w:r>
    </w:p>
    <w:p w:rsidR="006C2FE4" w:rsidRPr="00DE5ED6" w:rsidRDefault="00000000">
      <w:pPr>
        <w:pStyle w:val="1"/>
        <w:rPr>
          <w:rFonts w:ascii="微软雅黑" w:eastAsia="微软雅黑" w:hAnsi="微软雅黑"/>
        </w:rPr>
      </w:pPr>
      <w:proofErr w:type="spellStart"/>
      <w:r w:rsidRPr="00DE5ED6">
        <w:rPr>
          <w:rFonts w:ascii="微软雅黑" w:eastAsia="微软雅黑" w:hAnsi="微软雅黑" w:cs="Arial Unicode MS"/>
        </w:rPr>
        <w:t>代表项目</w:t>
      </w:r>
      <w:proofErr w:type="spellEnd"/>
    </w:p>
    <w:tbl>
      <w:tblPr>
        <w:tblW w:w="9360" w:type="dxa"/>
        <w:jc w:val="center"/>
        <w:tblBorders>
          <w:top w:val="single" w:sz="4" w:space="0" w:color="D7E0DA"/>
          <w:left w:val="single" w:sz="4" w:space="0" w:color="D7E0DA"/>
          <w:bottom w:val="single" w:sz="4" w:space="0" w:color="D7E0DA"/>
          <w:right w:val="single" w:sz="4" w:space="0" w:color="D7E0DA"/>
          <w:insideH w:val="single" w:sz="4" w:space="0" w:color="D7E0DA"/>
          <w:insideV w:val="single" w:sz="4" w:space="0" w:color="D7E0DA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6C2FE4" w:rsidRPr="00DE5ED6">
        <w:trPr>
          <w:jc w:val="center"/>
        </w:trPr>
        <w:tc>
          <w:tcPr>
            <w:tcW w:w="3120" w:type="dxa"/>
            <w:shd w:val="clear" w:color="auto" w:fill="F4F7F2"/>
            <w:tcMar>
              <w:top w:w="120" w:type="dxa"/>
              <w:left w:w="140" w:type="dxa"/>
              <w:bottom w:w="115" w:type="dxa"/>
              <w:right w:w="140" w:type="dxa"/>
            </w:tcMar>
          </w:tcPr>
          <w:p w:rsidR="006C2FE4" w:rsidRPr="00DE5ED6" w:rsidRDefault="00000000">
            <w:pPr>
              <w:spacing w:after="40"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  <w:sz w:val="18"/>
                <w:lang w:eastAsia="zh-CN"/>
              </w:rPr>
              <w:t>AI 应用行业场景洞察</w:t>
            </w:r>
          </w:p>
          <w:p w:rsidR="006C2FE4" w:rsidRPr="00DE5ED6" w:rsidRDefault="00000000">
            <w:pPr>
              <w:spacing w:after="0"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color w:val="262626" w:themeColor="text1" w:themeTint="D9"/>
                <w:sz w:val="16"/>
                <w:lang w:eastAsia="zh-CN"/>
              </w:rPr>
              <w:t>围绕客服 Agent、AI 数字人、视觉 AI、医疗 AI 等产品，结合客户需求、伙伴能力和行业场景进行专项规划，识别模型效果、ROI、交付周期、数据安全和集成路径等关键关注。</w:t>
            </w:r>
          </w:p>
        </w:tc>
        <w:tc>
          <w:tcPr>
            <w:tcW w:w="3120" w:type="dxa"/>
            <w:shd w:val="clear" w:color="auto" w:fill="F4F7F2"/>
            <w:tcMar>
              <w:top w:w="120" w:type="dxa"/>
              <w:left w:w="140" w:type="dxa"/>
              <w:bottom w:w="115" w:type="dxa"/>
              <w:right w:w="140" w:type="dxa"/>
            </w:tcMar>
          </w:tcPr>
          <w:p w:rsidR="006C2FE4" w:rsidRPr="00DE5ED6" w:rsidRDefault="00000000">
            <w:pPr>
              <w:spacing w:after="40"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  <w:sz w:val="18"/>
                <w:lang w:eastAsia="zh-CN"/>
              </w:rPr>
              <w:t>客服 Agent 反馈闭环</w:t>
            </w:r>
          </w:p>
          <w:p w:rsidR="006C2FE4" w:rsidRPr="00DE5ED6" w:rsidRDefault="00000000">
            <w:pPr>
              <w:spacing w:after="0"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color w:val="262626" w:themeColor="text1" w:themeTint="D9"/>
                <w:sz w:val="16"/>
                <w:lang w:eastAsia="zh-CN"/>
              </w:rPr>
              <w:t>在网易七鱼建立重点客户档案、五阶段销售 SOP 和项目追踪机制，联动售前、行业专家、实施与交付，把客户需求、竞品反馈和交付风险回流到业务侧。</w:t>
            </w:r>
          </w:p>
        </w:tc>
        <w:tc>
          <w:tcPr>
            <w:tcW w:w="3120" w:type="dxa"/>
            <w:shd w:val="clear" w:color="auto" w:fill="F4F7F2"/>
            <w:tcMar>
              <w:top w:w="120" w:type="dxa"/>
              <w:left w:w="140" w:type="dxa"/>
              <w:bottom w:w="115" w:type="dxa"/>
              <w:right w:w="140" w:type="dxa"/>
            </w:tcMar>
          </w:tcPr>
          <w:p w:rsidR="006C2FE4" w:rsidRPr="00DE5ED6" w:rsidRDefault="00000000">
            <w:pPr>
              <w:spacing w:after="40"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  <w:sz w:val="18"/>
                <w:lang w:eastAsia="zh-CN"/>
              </w:rPr>
              <w:t>长江三峡集团项目</w:t>
            </w:r>
          </w:p>
          <w:p w:rsidR="006C2FE4" w:rsidRPr="00DE5ED6" w:rsidRDefault="00000000">
            <w:pPr>
              <w:spacing w:after="0" w:line="259" w:lineRule="auto"/>
              <w:rPr>
                <w:rFonts w:ascii="微软雅黑" w:eastAsia="微软雅黑" w:hAnsi="微软雅黑"/>
                <w:lang w:eastAsia="zh-CN"/>
              </w:rPr>
            </w:pPr>
            <w:r w:rsidRPr="00DE5ED6">
              <w:rPr>
                <w:rFonts w:ascii="微软雅黑" w:eastAsia="微软雅黑" w:hAnsi="微软雅黑"/>
                <w:color w:val="262626" w:themeColor="text1" w:themeTint="D9"/>
                <w:sz w:val="16"/>
                <w:lang w:eastAsia="zh-CN"/>
              </w:rPr>
              <w:t>负责 566 万通讯文档平台项目需求沟通、投标协调、实施部署、产品修改与结项安排，具备从需求到交付的完整项目管理经验。</w:t>
            </w:r>
          </w:p>
        </w:tc>
      </w:tr>
    </w:tbl>
    <w:p w:rsidR="006C2FE4" w:rsidRPr="00DE5ED6" w:rsidRDefault="00000000">
      <w:pPr>
        <w:pStyle w:val="1"/>
        <w:rPr>
          <w:rFonts w:ascii="微软雅黑" w:eastAsia="微软雅黑" w:hAnsi="微软雅黑"/>
        </w:rPr>
      </w:pPr>
      <w:proofErr w:type="spellStart"/>
      <w:r w:rsidRPr="00DE5ED6">
        <w:rPr>
          <w:rFonts w:ascii="微软雅黑" w:eastAsia="微软雅黑" w:hAnsi="微软雅黑" w:cs="Arial Unicode MS"/>
        </w:rPr>
        <w:t>方法与迁移能力</w:t>
      </w:r>
      <w:proofErr w:type="spellEnd"/>
    </w:p>
    <w:tbl>
      <w:tblPr>
        <w:tblW w:w="9360" w:type="dxa"/>
        <w:jc w:val="center"/>
        <w:tblBorders>
          <w:top w:val="single" w:sz="4" w:space="0" w:color="D7E0DA"/>
          <w:left w:val="single" w:sz="4" w:space="0" w:color="D7E0DA"/>
          <w:bottom w:val="single" w:sz="4" w:space="0" w:color="D7E0DA"/>
          <w:right w:val="single" w:sz="4" w:space="0" w:color="D7E0DA"/>
          <w:insideH w:val="single" w:sz="4" w:space="0" w:color="D7E0DA"/>
          <w:insideV w:val="single" w:sz="4" w:space="0" w:color="D7E0DA"/>
        </w:tblBorders>
        <w:tblLayout w:type="fixed"/>
        <w:tblLook w:val="04A0" w:firstRow="1" w:lastRow="0" w:firstColumn="1" w:lastColumn="0" w:noHBand="0" w:noVBand="1"/>
      </w:tblPr>
      <w:tblGrid>
        <w:gridCol w:w="2500"/>
        <w:gridCol w:w="6860"/>
      </w:tblGrid>
      <w:tr w:rsidR="006C2FE4" w:rsidRPr="00DE5ED6">
        <w:trPr>
          <w:jc w:val="center"/>
        </w:trPr>
        <w:tc>
          <w:tcPr>
            <w:tcW w:w="2500" w:type="dxa"/>
            <w:tcMar>
              <w:top w:w="95" w:type="dxa"/>
              <w:left w:w="140" w:type="dxa"/>
              <w:bottom w:w="95" w:type="dxa"/>
              <w:right w:w="140" w:type="dxa"/>
            </w:tcMar>
          </w:tcPr>
          <w:p w:rsidR="006C2FE4" w:rsidRPr="00DE5ED6" w:rsidRDefault="00000000">
            <w:pPr>
              <w:spacing w:after="0" w:line="259" w:lineRule="auto"/>
              <w:rPr>
                <w:rFonts w:ascii="微软雅黑" w:eastAsia="微软雅黑" w:hAnsi="微软雅黑"/>
              </w:rPr>
            </w:pPr>
            <w:r w:rsidRPr="00DE5ED6">
              <w:rPr>
                <w:rFonts w:ascii="微软雅黑" w:eastAsia="微软雅黑" w:hAnsi="微软雅黑"/>
                <w:b/>
                <w:color w:val="17483F"/>
                <w:sz w:val="18"/>
              </w:rPr>
              <w:t>业务问题转研究问题</w:t>
            </w:r>
          </w:p>
        </w:tc>
        <w:tc>
          <w:tcPr>
            <w:tcW w:w="6860" w:type="dxa"/>
            <w:tcMar>
              <w:top w:w="95" w:type="dxa"/>
              <w:left w:w="140" w:type="dxa"/>
              <w:bottom w:w="95" w:type="dxa"/>
              <w:right w:w="140" w:type="dxa"/>
            </w:tcMar>
          </w:tcPr>
          <w:p w:rsidR="006C2FE4" w:rsidRPr="00DE5ED6" w:rsidRDefault="00000000">
            <w:pPr>
              <w:spacing w:after="0" w:line="259" w:lineRule="auto"/>
              <w:rPr>
                <w:rFonts w:ascii="微软雅黑" w:eastAsia="微软雅黑" w:hAnsi="微软雅黑"/>
                <w:color w:val="262626" w:themeColor="text1" w:themeTint="D9"/>
                <w:lang w:eastAsia="zh-CN"/>
              </w:rPr>
            </w:pPr>
            <w:r w:rsidRPr="00DE5ED6">
              <w:rPr>
                <w:rFonts w:ascii="微软雅黑" w:eastAsia="微软雅黑" w:hAnsi="微软雅黑"/>
                <w:color w:val="262626" w:themeColor="text1" w:themeTint="D9"/>
                <w:sz w:val="16"/>
                <w:lang w:eastAsia="zh-CN"/>
              </w:rPr>
              <w:t>能从业务目标、客户阻力、产品边界和商业化规则反推研究重点，适合承接 AI 生产力赛道战略用研。</w:t>
            </w:r>
          </w:p>
        </w:tc>
      </w:tr>
      <w:tr w:rsidR="006C2FE4" w:rsidRPr="00DE5ED6">
        <w:trPr>
          <w:jc w:val="center"/>
        </w:trPr>
        <w:tc>
          <w:tcPr>
            <w:tcW w:w="2500" w:type="dxa"/>
            <w:tcMar>
              <w:top w:w="95" w:type="dxa"/>
              <w:left w:w="140" w:type="dxa"/>
              <w:bottom w:w="95" w:type="dxa"/>
              <w:right w:w="140" w:type="dxa"/>
            </w:tcMar>
          </w:tcPr>
          <w:p w:rsidR="006C2FE4" w:rsidRPr="00DE5ED6" w:rsidRDefault="00000000">
            <w:pPr>
              <w:spacing w:after="0" w:line="259" w:lineRule="auto"/>
              <w:rPr>
                <w:rFonts w:ascii="微软雅黑" w:eastAsia="微软雅黑" w:hAnsi="微软雅黑"/>
              </w:rPr>
            </w:pPr>
            <w:proofErr w:type="spellStart"/>
            <w:r w:rsidRPr="00DE5ED6">
              <w:rPr>
                <w:rFonts w:ascii="微软雅黑" w:eastAsia="微软雅黑" w:hAnsi="微软雅黑"/>
                <w:b/>
                <w:color w:val="17483F"/>
                <w:sz w:val="18"/>
              </w:rPr>
              <w:t>定性</w:t>
            </w:r>
            <w:proofErr w:type="spellEnd"/>
            <w:r w:rsidRPr="00DE5ED6">
              <w:rPr>
                <w:rFonts w:ascii="微软雅黑" w:eastAsia="微软雅黑" w:hAnsi="微软雅黑"/>
                <w:b/>
                <w:color w:val="17483F"/>
                <w:sz w:val="18"/>
              </w:rPr>
              <w:t xml:space="preserve"> + </w:t>
            </w:r>
            <w:proofErr w:type="spellStart"/>
            <w:r w:rsidRPr="00DE5ED6">
              <w:rPr>
                <w:rFonts w:ascii="微软雅黑" w:eastAsia="微软雅黑" w:hAnsi="微软雅黑"/>
                <w:b/>
                <w:color w:val="17483F"/>
                <w:sz w:val="18"/>
              </w:rPr>
              <w:t>数据化视角</w:t>
            </w:r>
            <w:proofErr w:type="spellEnd"/>
          </w:p>
        </w:tc>
        <w:tc>
          <w:tcPr>
            <w:tcW w:w="6860" w:type="dxa"/>
            <w:tcMar>
              <w:top w:w="95" w:type="dxa"/>
              <w:left w:w="140" w:type="dxa"/>
              <w:bottom w:w="95" w:type="dxa"/>
              <w:right w:w="140" w:type="dxa"/>
            </w:tcMar>
          </w:tcPr>
          <w:p w:rsidR="006C2FE4" w:rsidRPr="00DE5ED6" w:rsidRDefault="00000000">
            <w:pPr>
              <w:spacing w:after="0" w:line="259" w:lineRule="auto"/>
              <w:rPr>
                <w:rFonts w:ascii="微软雅黑" w:eastAsia="微软雅黑" w:hAnsi="微软雅黑"/>
                <w:color w:val="262626" w:themeColor="text1" w:themeTint="D9"/>
                <w:lang w:eastAsia="zh-CN"/>
              </w:rPr>
            </w:pPr>
            <w:r w:rsidRPr="00DE5ED6">
              <w:rPr>
                <w:rFonts w:ascii="微软雅黑" w:eastAsia="微软雅黑" w:hAnsi="微软雅黑"/>
                <w:color w:val="262626" w:themeColor="text1" w:themeTint="D9"/>
                <w:sz w:val="16"/>
                <w:lang w:eastAsia="zh-CN"/>
              </w:rPr>
              <w:t>过往通过客户沟通、伙伴反馈、重点项目复盘、销售漏斗和转化数据识别需求，可进一步迁移到深访、问卷和行为数据分析。</w:t>
            </w:r>
          </w:p>
        </w:tc>
      </w:tr>
      <w:tr w:rsidR="006C2FE4" w:rsidRPr="00DE5ED6">
        <w:trPr>
          <w:jc w:val="center"/>
        </w:trPr>
        <w:tc>
          <w:tcPr>
            <w:tcW w:w="2500" w:type="dxa"/>
            <w:tcMar>
              <w:top w:w="95" w:type="dxa"/>
              <w:left w:w="140" w:type="dxa"/>
              <w:bottom w:w="95" w:type="dxa"/>
              <w:right w:w="140" w:type="dxa"/>
            </w:tcMar>
          </w:tcPr>
          <w:p w:rsidR="006C2FE4" w:rsidRPr="00DE5ED6" w:rsidRDefault="00000000">
            <w:pPr>
              <w:spacing w:after="0" w:line="259" w:lineRule="auto"/>
              <w:rPr>
                <w:rFonts w:ascii="微软雅黑" w:eastAsia="微软雅黑" w:hAnsi="微软雅黑"/>
              </w:rPr>
            </w:pPr>
            <w:proofErr w:type="spellStart"/>
            <w:r w:rsidRPr="00DE5ED6">
              <w:rPr>
                <w:rFonts w:ascii="微软雅黑" w:eastAsia="微软雅黑" w:hAnsi="微软雅黑"/>
                <w:b/>
                <w:color w:val="17483F"/>
                <w:sz w:val="18"/>
              </w:rPr>
              <w:t>一线反馈到产品闭环</w:t>
            </w:r>
            <w:proofErr w:type="spellEnd"/>
          </w:p>
        </w:tc>
        <w:tc>
          <w:tcPr>
            <w:tcW w:w="6860" w:type="dxa"/>
            <w:tcMar>
              <w:top w:w="95" w:type="dxa"/>
              <w:left w:w="140" w:type="dxa"/>
              <w:bottom w:w="95" w:type="dxa"/>
              <w:right w:w="140" w:type="dxa"/>
            </w:tcMar>
          </w:tcPr>
          <w:p w:rsidR="006C2FE4" w:rsidRPr="00DE5ED6" w:rsidRDefault="00000000">
            <w:pPr>
              <w:spacing w:after="0" w:line="259" w:lineRule="auto"/>
              <w:rPr>
                <w:rFonts w:ascii="微软雅黑" w:eastAsia="微软雅黑" w:hAnsi="微软雅黑"/>
                <w:color w:val="262626" w:themeColor="text1" w:themeTint="D9"/>
                <w:lang w:eastAsia="zh-CN"/>
              </w:rPr>
            </w:pPr>
            <w:r w:rsidRPr="00DE5ED6">
              <w:rPr>
                <w:rFonts w:ascii="微软雅黑" w:eastAsia="微软雅黑" w:hAnsi="微软雅黑"/>
                <w:color w:val="262626" w:themeColor="text1" w:themeTint="D9"/>
                <w:sz w:val="16"/>
                <w:lang w:eastAsia="zh-CN"/>
              </w:rPr>
              <w:t>有客户档案、项目追踪、销售 SOP、伙伴规则和专项行动经验，适合搭建 Kimi 核心用户反馈机制。</w:t>
            </w:r>
          </w:p>
        </w:tc>
      </w:tr>
    </w:tbl>
    <w:p w:rsidR="00000000" w:rsidRDefault="00DE5ED6" w:rsidP="00DE5ED6">
      <w:pPr>
        <w:pStyle w:val="1"/>
        <w:rPr>
          <w:rFonts w:ascii="微软雅黑" w:eastAsia="微软雅黑" w:hAnsi="微软雅黑" w:cs="Arial Unicode MS"/>
        </w:rPr>
      </w:pPr>
      <w:proofErr w:type="spellStart"/>
      <w:r w:rsidRPr="00DE5ED6">
        <w:rPr>
          <w:rFonts w:ascii="微软雅黑" w:eastAsia="微软雅黑" w:hAnsi="微软雅黑" w:cs="Arial Unicode MS"/>
        </w:rPr>
        <w:t>教育背景</w:t>
      </w:r>
      <w:proofErr w:type="spellEnd"/>
    </w:p>
    <w:p w:rsidR="00DE5ED6" w:rsidRPr="00DE5ED6" w:rsidRDefault="00DE5ED6" w:rsidP="00DE5ED6">
      <w:pPr>
        <w:keepNext/>
        <w:spacing w:after="40" w:line="240" w:lineRule="auto"/>
        <w:rPr>
          <w:rFonts w:ascii="微软雅黑" w:eastAsia="微软雅黑" w:hAnsi="微软雅黑"/>
          <w:lang w:eastAsia="zh-CN"/>
        </w:rPr>
      </w:pPr>
      <w:r w:rsidRPr="00DE5ED6">
        <w:rPr>
          <w:rFonts w:ascii="微软雅黑" w:eastAsia="微软雅黑" w:hAnsi="微软雅黑"/>
          <w:color w:val="262626" w:themeColor="text1" w:themeTint="D9"/>
          <w:sz w:val="20"/>
          <w:szCs w:val="28"/>
          <w:lang w:eastAsia="zh-CN"/>
        </w:rPr>
        <w:t>2008 - 2012 安徽科技工程大学（原安徽科技学院）｜统招本科｜信息与计算科学；</w:t>
      </w:r>
      <w:r w:rsidRPr="00DE5ED6">
        <w:rPr>
          <w:rFonts w:ascii="微软雅黑" w:eastAsia="微软雅黑" w:hAnsi="微软雅黑" w:hint="eastAsia"/>
          <w:color w:val="262626" w:themeColor="text1" w:themeTint="D9"/>
          <w:sz w:val="20"/>
          <w:szCs w:val="28"/>
          <w:lang w:eastAsia="zh-CN"/>
        </w:rPr>
        <w:t xml:space="preserve"> </w:t>
      </w:r>
      <w:r w:rsidRPr="00DE5ED6">
        <w:rPr>
          <w:rFonts w:ascii="微软雅黑" w:eastAsia="微软雅黑" w:hAnsi="微软雅黑"/>
          <w:color w:val="262626" w:themeColor="text1" w:themeTint="D9"/>
          <w:sz w:val="20"/>
          <w:szCs w:val="28"/>
          <w:lang w:eastAsia="zh-CN"/>
        </w:rPr>
        <w:t>2011 数学专项奖学金</w:t>
      </w:r>
      <w:r w:rsidRPr="00DE5ED6">
        <w:rPr>
          <w:rFonts w:ascii="微软雅黑" w:eastAsia="微软雅黑" w:hAnsi="微软雅黑"/>
          <w:color w:val="5C6964"/>
          <w:sz w:val="16"/>
          <w:lang w:eastAsia="zh-CN"/>
        </w:rPr>
        <w:t>。</w:t>
      </w:r>
    </w:p>
    <w:sectPr w:rsidR="00DE5ED6" w:rsidRPr="00DE5ED6" w:rsidSect="00034616">
      <w:footerReference w:type="default" r:id="rId9"/>
      <w:pgSz w:w="11906" w:h="16838"/>
      <w:pgMar w:top="822" w:right="879" w:bottom="822" w:left="879" w:header="454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5B29" w:rsidRDefault="00BE5B29">
      <w:pPr>
        <w:spacing w:after="0" w:line="240" w:lineRule="auto"/>
      </w:pPr>
      <w:r>
        <w:separator/>
      </w:r>
    </w:p>
  </w:endnote>
  <w:endnote w:type="continuationSeparator" w:id="0">
    <w:p w:rsidR="00BE5B29" w:rsidRDefault="00BE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2FE4" w:rsidRDefault="006C2FE4">
    <w:pPr>
      <w:pStyle w:val="a7"/>
      <w:jc w:val="center"/>
      <w:rPr>
        <w:rFonts w:hint="eastAsia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5B29" w:rsidRDefault="00BE5B29">
      <w:pPr>
        <w:spacing w:after="0" w:line="240" w:lineRule="auto"/>
      </w:pPr>
      <w:r>
        <w:separator/>
      </w:r>
    </w:p>
  </w:footnote>
  <w:footnote w:type="continuationSeparator" w:id="0">
    <w:p w:rsidR="00BE5B29" w:rsidRDefault="00BE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8E4A2F"/>
    <w:multiLevelType w:val="hybridMultilevel"/>
    <w:tmpl w:val="5C7EC3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8411590">
    <w:abstractNumId w:val="8"/>
  </w:num>
  <w:num w:numId="2" w16cid:durableId="639501467">
    <w:abstractNumId w:val="6"/>
  </w:num>
  <w:num w:numId="3" w16cid:durableId="1102339392">
    <w:abstractNumId w:val="5"/>
  </w:num>
  <w:num w:numId="4" w16cid:durableId="390612952">
    <w:abstractNumId w:val="4"/>
  </w:num>
  <w:num w:numId="5" w16cid:durableId="1371765731">
    <w:abstractNumId w:val="7"/>
  </w:num>
  <w:num w:numId="6" w16cid:durableId="1304387505">
    <w:abstractNumId w:val="3"/>
  </w:num>
  <w:num w:numId="7" w16cid:durableId="1199703052">
    <w:abstractNumId w:val="2"/>
  </w:num>
  <w:num w:numId="8" w16cid:durableId="1271275125">
    <w:abstractNumId w:val="1"/>
  </w:num>
  <w:num w:numId="9" w16cid:durableId="112407692">
    <w:abstractNumId w:val="0"/>
  </w:num>
  <w:num w:numId="10" w16cid:durableId="1954901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2FE4"/>
    <w:rsid w:val="00AA1D8D"/>
    <w:rsid w:val="00B47730"/>
    <w:rsid w:val="00BE5B29"/>
    <w:rsid w:val="00C86D12"/>
    <w:rsid w:val="00CB0664"/>
    <w:rsid w:val="00D006AF"/>
    <w:rsid w:val="00DE5E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3C070"/>
  <w14:defaultImageDpi w14:val="300"/>
  <w15:docId w15:val="{7DB8493E-31DC-494F-B4F8-BC32BC82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60" w:line="269" w:lineRule="auto"/>
    </w:pPr>
    <w:rPr>
      <w:rFonts w:ascii="Arial Unicode MS" w:eastAsia="Arial Unicode MS" w:hAnsi="Arial Unicode MS" w:cs="Arial Unicode MS"/>
      <w:color w:val="17201D"/>
      <w:sz w:val="19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 w:after="120" w:line="259" w:lineRule="auto"/>
      <w:outlineLvl w:val="0"/>
    </w:pPr>
    <w:rPr>
      <w:rFonts w:asciiTheme="majorHAnsi" w:eastAsiaTheme="majorEastAsia" w:hAnsiTheme="majorHAnsi" w:cstheme="majorBidi"/>
      <w:b/>
      <w:bCs/>
      <w:color w:val="17483F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40" w:after="80" w:line="259" w:lineRule="auto"/>
      <w:outlineLvl w:val="1"/>
    </w:pPr>
    <w:rPr>
      <w:rFonts w:asciiTheme="majorHAnsi" w:eastAsiaTheme="majorEastAsia" w:hAnsiTheme="majorHAnsi" w:cstheme="majorBidi"/>
      <w:b/>
      <w:bCs/>
      <w:color w:val="17483F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00" w:line="259" w:lineRule="auto"/>
      <w:outlineLvl w:val="2"/>
    </w:pPr>
    <w:rPr>
      <w:rFonts w:asciiTheme="majorHAnsi" w:eastAsiaTheme="majorEastAsia" w:hAnsiTheme="majorHAnsi" w:cstheme="majorBidi"/>
      <w:b/>
      <w:bCs/>
      <w:color w:val="17483F"/>
      <w:sz w:val="2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spacing w:after="30" w:line="259" w:lineRule="auto"/>
      <w:ind w:left="288" w:hanging="173"/>
      <w:contextualSpacing/>
    </w:pPr>
    <w:rPr>
      <w:sz w:val="18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王茗_Kimi_AI研究员_定制简历_可编辑版</dc:title>
  <dc:subject/>
  <dc:creator>王茗</dc:creator>
  <cp:keywords/>
  <dc:description>generated by python-docx</dc:description>
  <cp:lastModifiedBy>Micheal</cp:lastModifiedBy>
  <cp:revision>3</cp:revision>
  <dcterms:created xsi:type="dcterms:W3CDTF">2013-12-23T23:15:00Z</dcterms:created>
  <dcterms:modified xsi:type="dcterms:W3CDTF">2026-06-28T15:28:00Z</dcterms:modified>
  <cp:category/>
</cp:coreProperties>
</file>